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Liberation Serif" w:hAnsi="Liberation Serif" w:cs="Times New Roman"/>
          <w:sz w:val="24"/>
          <w:szCs w:val="24"/>
        </w:rPr>
      </w:pPr>
      <w:r/>
      <w:bookmarkStart w:id="0" w:name="_GoBack"/>
      <w:r>
        <w:rPr>
          <w:rFonts w:ascii="Liberation Serif" w:hAnsi="Liberation Serif" w:cs="Times New Roman"/>
          <w:sz w:val="24"/>
          <w:szCs w:val="24"/>
        </w:rPr>
        <w:t xml:space="preserve">Сводный отчет</w:t>
      </w:r>
      <w:r/>
    </w:p>
    <w:p>
      <w:pPr>
        <w:pStyle w:val="816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результатах проведения публичных консультаций</w:t>
      </w:r>
      <w:bookmarkEnd w:id="0"/>
      <w:r/>
      <w:r/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/>
      <w:bookmarkStart w:id="1" w:name="P379"/>
      <w:r/>
      <w:bookmarkEnd w:id="1"/>
      <w:r>
        <w:rPr>
          <w:rFonts w:ascii="Liberation Serif" w:hAnsi="Liberation Serif" w:cs="Times New Roman"/>
          <w:sz w:val="24"/>
          <w:szCs w:val="24"/>
        </w:rPr>
        <w:t xml:space="preserve">1. Общая информация: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1.1. Орган-разработчик (полное и краткое наименования):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Управление торговли и муниципального заказа Департамента экономики торговли и муниципального заказа Администрации Пуровского района</w:t>
      </w:r>
      <w:r>
        <w:rPr>
          <w:rFonts w:ascii="Liberation Serif" w:hAnsi="Liberation Serif" w:cs="Times New Roman"/>
          <w:sz w:val="24"/>
          <w:szCs w:val="24"/>
        </w:rPr>
        <w:t xml:space="preserve">; 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1.2. Вид и наименование нормативного правового акта: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постановления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Администрации Пуровского района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от 1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4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.0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1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.2022 №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5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 –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П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А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«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О внесении изменений в Положение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 о размещении нестационарных торговых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 объектов на территории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 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муниципального округа Пуровский район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, </w:t>
      </w:r>
      <w:r>
        <w:rPr>
          <w:rFonts w:ascii="Liberation Serif" w:hAnsi="Liberation Serif" w:cs="Liberation Serif" w:eastAsia="Liberation Serif"/>
          <w:b w:val="false"/>
          <w:sz w:val="24"/>
          <w:u w:val="single"/>
          <w:lang w:eastAsia="en-US"/>
        </w:rPr>
        <w:t xml:space="preserve">утвержденное постановлением Администрации Пуровского района от 24.02.2021</w:t>
      </w:r>
      <w:r>
        <w:rPr>
          <w:rFonts w:ascii="Liberation Serif" w:hAnsi="Liberation Serif" w:cs="Liberation Serif" w:eastAsia="Liberation Serif"/>
          <w:b w:val="false"/>
          <w:sz w:val="24"/>
          <w:u w:val="single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b w:val="false"/>
          <w:sz w:val="24"/>
          <w:u w:val="single"/>
          <w:lang w:eastAsia="en-US"/>
        </w:rPr>
        <w:t xml:space="preserve">№ 95-</w:t>
      </w:r>
      <w:r>
        <w:rPr>
          <w:rFonts w:ascii="Liberation Serif" w:hAnsi="Liberation Serif" w:cs="Liberation Serif" w:eastAsia="Liberation Serif"/>
          <w:b w:val="false"/>
          <w:sz w:val="24"/>
          <w:u w:val="single"/>
          <w:lang w:eastAsia="en-US"/>
        </w:rPr>
        <w:t xml:space="preserve">ПА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 </w:t>
      </w:r>
      <w:r>
        <w:rPr>
          <w:rFonts w:ascii="Liberation Serif" w:hAnsi="Liberation Serif" w:cs="Liberation Serif" w:eastAsia="Liberation Serif"/>
          <w:b w:val="false"/>
          <w:sz w:val="24"/>
          <w:szCs w:val="24"/>
          <w:u w:val="single"/>
        </w:rPr>
        <w:t xml:space="preserve">(с изменениями от 16.06.2021 № 300-ПА)</w:t>
      </w:r>
      <w:r>
        <w:rPr>
          <w:rFonts w:ascii="Liberation Serif" w:hAnsi="Liberation Serif" w:cs="Liberation Serif" w:eastAsia="Liberation Serif"/>
          <w:b w:val="false"/>
          <w:sz w:val="24"/>
          <w:szCs w:val="24"/>
          <w:u w:val="single"/>
        </w:rPr>
        <w:t xml:space="preserve">»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1.3. Предполагаемая дата вступления в силу нормативного правового акта (если положения вводятся в действие в разное время, это указывается в разделе 10)</w:t>
      </w:r>
      <w:r>
        <w:rPr>
          <w:rFonts w:ascii="Liberation Serif" w:hAnsi="Liberation Serif" w:cs="Times New Roman"/>
          <w:sz w:val="24"/>
          <w:szCs w:val="24"/>
        </w:rPr>
        <w:t xml:space="preserve">: </w:t>
      </w:r>
      <w:r>
        <w:rPr>
          <w:rFonts w:ascii="Liberation Serif" w:hAnsi="Liberation Serif" w:cs="Times New Roman"/>
          <w:sz w:val="24"/>
          <w:szCs w:val="24"/>
        </w:rPr>
        <w:t xml:space="preserve">действует 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с 14.01.2022</w:t>
      </w:r>
      <w:r>
        <w:rPr>
          <w:rFonts w:ascii="Liberation Serif" w:hAnsi="Liberation Serif" w:cs="Times New Roman"/>
          <w:sz w:val="24"/>
          <w:szCs w:val="24"/>
        </w:rPr>
        <w:t xml:space="preserve">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1.4. Краткое описание проблемы, на решение которой направлено предлагаемое правовое </w:t>
      </w:r>
      <w:r>
        <w:rPr>
          <w:rFonts w:ascii="Liberation Serif" w:hAnsi="Liberation Serif" w:cs="Times New Roman"/>
          <w:sz w:val="24"/>
          <w:szCs w:val="24"/>
        </w:rPr>
        <w:t xml:space="preserve">р</w:t>
      </w:r>
      <w:r>
        <w:rPr>
          <w:rFonts w:ascii="Liberation Serif" w:hAnsi="Liberation Serif" w:cs="Times New Roman"/>
          <w:sz w:val="24"/>
          <w:szCs w:val="24"/>
        </w:rPr>
        <w:t xml:space="preserve">егулирование: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обеспечение жителей 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муниципального округа Пуровский район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 услугами торговли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1.5. Краткое описание целей предлагаемого правового регулирования: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обеспечение жителей 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муниципального округа Пуровский район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 услугами торговли</w:t>
      </w:r>
      <w:r>
        <w:rPr>
          <w:rFonts w:ascii="Liberation Serif" w:hAnsi="Liberation Serif" w:cs="Times New Roman"/>
          <w:sz w:val="24"/>
          <w:szCs w:val="24"/>
        </w:rPr>
        <w:t xml:space="preserve">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 xml:space="preserve">1.6. </w:t>
      </w:r>
      <w:r>
        <w:rPr>
          <w:rFonts w:ascii="Liberation Serif" w:hAnsi="Liberation Serif" w:cs="Times New Roman"/>
          <w:sz w:val="24"/>
          <w:szCs w:val="24"/>
        </w:rPr>
        <w:t xml:space="preserve">Краткое описание содержания предлагаемого правового регулирования: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является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обеспечение жителей 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муниципального округа Пуровский район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 услугами торговли, а также предоставление мест для размещения нестационарных торговых объектов без проведения конкурса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.</w:t>
      </w:r>
      <w:r>
        <w:rPr>
          <w:u w:val="single"/>
        </w:rPr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1.7. Контактная информация исполнителя органа-разработчика:</w:t>
      </w:r>
      <w:r/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Ф.И.О.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Дубинин Дмитрий Федорович</w:t>
      </w:r>
      <w:r>
        <w:rPr>
          <w:rFonts w:ascii="Liberation Serif" w:hAnsi="Liberation Serif" w:cs="Times New Roman"/>
          <w:sz w:val="24"/>
          <w:szCs w:val="24"/>
        </w:rPr>
        <w:t xml:space="preserve">;</w:t>
      </w:r>
      <w:r/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Должность: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начальник отдела общественного питания, торговли и бытового обслуживания управления торговли и муниципального заказа Департамента экономики торговли и муниципального заказа Администрации Пуровского района;</w:t>
      </w:r>
      <w:r/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Тел.: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8 (34997) 6-06-53</w:t>
      </w:r>
      <w:r>
        <w:rPr>
          <w:rFonts w:ascii="Liberation Serif" w:hAnsi="Liberation Serif" w:cs="Times New Roman"/>
          <w:sz w:val="24"/>
          <w:szCs w:val="24"/>
        </w:rPr>
        <w:t xml:space="preserve">;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Адрес электронной почты:</w:t>
      </w:r>
      <w:r>
        <w:t xml:space="preserve">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rntorg@bk.ru;</w:t>
      </w:r>
      <w:r/>
    </w:p>
    <w:p>
      <w:pPr>
        <w:pStyle w:val="81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</w:t>
      </w:r>
      <w:r>
        <w:rPr>
          <w:rFonts w:ascii="Liberation Serif" w:hAnsi="Liberation Serif" w:cs="Times New Roman"/>
          <w:sz w:val="24"/>
          <w:szCs w:val="24"/>
        </w:rPr>
        <w:t xml:space="preserve">Описание проблемы, на решение которой направлено предлагаемое правовое регулирование: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нормативно правово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й акт разработан в соответствии с Федеральным законом от 06.10.2023 № 131-ФЗ «Об общих принципах организа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распоряжением Правительства Российской Федерации от 30.01.2021 № 208-р</w:t>
      </w:r>
      <w:r>
        <w:rPr>
          <w:rFonts w:ascii="Liberation Serif" w:hAnsi="Liberation Serif"/>
          <w:sz w:val="24"/>
          <w:szCs w:val="24"/>
          <w:u w:val="single"/>
        </w:rPr>
        <w:t xml:space="preserve">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2.1. Формулировка проблемы: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необходимость </w:t>
      </w:r>
      <w:r>
        <w:rPr>
          <w:rFonts w:ascii="Liberation Serif" w:hAnsi="Liberation Serif" w:cs="Times New Roman"/>
          <w:sz w:val="24"/>
          <w:szCs w:val="24"/>
        </w:rPr>
        <w:t xml:space="preserve">обеспечения выполнения требований законодательства Российской Федерации</w:t>
      </w:r>
      <w:r>
        <w:rPr>
          <w:rFonts w:ascii="Liberation Serif" w:hAnsi="Liberation Serif" w:cs="Times New Roman"/>
          <w:sz w:val="24"/>
          <w:szCs w:val="24"/>
        </w:rPr>
        <w:t xml:space="preserve">;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проблемы не выявлены;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2.3. Субъекты общественных отношений, заинтересованные в устранении проблемы, их количественная оценка: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 xml:space="preserve">действие постановления затрагивает интересы субъектов малого и среднего предпринимательства, осуществляющих свою деятельность на территории муниципального округа Пуровский район и в иных субъектах РФ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;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2.4. Характеристика негативных эффектов, возникающих в связи с наличием проблемы, их количественная оценка. Негативные эффекты могут проявляться в следующем: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наличие недопустимого риска причинения вреда жизни или здоровью граждан, </w:t>
      </w:r>
      <w:r>
        <w:rPr>
          <w:rFonts w:ascii="Liberation Serif" w:hAnsi="Liberation Serif" w:cs="Times New Roman"/>
          <w:sz w:val="24"/>
          <w:szCs w:val="24"/>
        </w:rPr>
        <w:t xml:space="preserve">имуществу физических и юридических лиц. Подтверждением существования этой проблемы служат данные о случаях причинения вреда жизни, здоровью или имуществу, в том числе данные официальной статистики, контрольно-надзорных органов, страховых компаний;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высокие издержки применения участниками отношений установленных процедур. Подтверждением наличия этого эффекта </w:t>
      </w:r>
      <w:r>
        <w:rPr>
          <w:rFonts w:ascii="Liberation Serif" w:hAnsi="Liberation Serif" w:cs="Times New Roman"/>
          <w:sz w:val="24"/>
          <w:szCs w:val="24"/>
        </w:rPr>
        <w:t xml:space="preserve">могут быть количественные оценки стоимости и продолжительности процедур (в сопоставлении со стоимостью и продолжительностью аналогичных процедур в других субъектах, странах, с оборотом компаний, доходами затронутых лиц и т.п.). Источниками данных для колич</w:t>
      </w:r>
      <w:r>
        <w:rPr>
          <w:rFonts w:ascii="Liberation Serif" w:hAnsi="Liberation Serif" w:cs="Times New Roman"/>
          <w:sz w:val="24"/>
          <w:szCs w:val="24"/>
        </w:rPr>
        <w:t xml:space="preserve">ественной оценки могут служить официальные статистические данные, результаты независимых мониторингов и оценок административных барьеров, официально установленные размеры тарифов, пошлин и т.п., данные о стоимости и распространенности посреднических услуг;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наличие прочих негативных эффектов для общества, в том числе для экологии, безопасности, состояния конкуренции, инвестиционного климата, социального благополучия, иных негативных эффектов. Наличие негативных экологических пос</w:t>
      </w:r>
      <w:r>
        <w:rPr>
          <w:rFonts w:ascii="Liberation Serif" w:hAnsi="Liberation Serif" w:cs="Times New Roman"/>
          <w:sz w:val="24"/>
          <w:szCs w:val="24"/>
        </w:rPr>
        <w:t xml:space="preserve">ледствий может быть подтверждено данными о нанесенном экологическом ущербе, заболеваемости и т.п. Негативное воздействие на состояние конкуренции может быть подтверждено данными анализа состояния конкуренции на конкретных товарных рынках. Негативное воздей</w:t>
      </w:r>
      <w:r>
        <w:rPr>
          <w:rFonts w:ascii="Liberation Serif" w:hAnsi="Liberation Serif" w:cs="Times New Roman"/>
          <w:sz w:val="24"/>
          <w:szCs w:val="24"/>
        </w:rPr>
        <w:t xml:space="preserve">ствие на условия ведения предпринимательской деятельности, деловой и инвестиционный климат может подтверждаться результатами опросов предпринимателей, данными исследований делового и инвестиционного климата, в том числе международными, и иными материалами.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Орган-разработчик может указать иные важные с его точки зрения негативные эффекты для общества в целом или отдельных групп участников отношений. Наличие таких негативных эффектов также должно быть подтверждено объективными данными.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  <w:u w:val="single"/>
        </w:rPr>
        <w:t xml:space="preserve">Негативных эффектов не выявлено;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(место для текстового описания)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2.5. Причины возникновения проблемы и факторы, поддерживающие ее существование: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отсутствуют;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органом местного самоуправления: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отсутствуют;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2.7. Опыт решения </w:t>
      </w:r>
      <w:r>
        <w:rPr>
          <w:rFonts w:ascii="Liberation Serif" w:hAnsi="Liberation Serif" w:cs="Times New Roman"/>
          <w:sz w:val="24"/>
          <w:szCs w:val="24"/>
        </w:rPr>
        <w:t xml:space="preserve">аналогичных проблем</w:t>
      </w:r>
      <w:r>
        <w:rPr>
          <w:rFonts w:ascii="Liberation Serif" w:hAnsi="Liberation Serif" w:cs="Times New Roman"/>
          <w:sz w:val="24"/>
          <w:szCs w:val="24"/>
        </w:rPr>
        <w:t xml:space="preserve"> в других муниципальных образованиях, субъектах Российской Федерации:</w:t>
      </w:r>
      <w:r>
        <w:rPr>
          <w:rFonts w:ascii="Liberation Serif" w:hAnsi="Liberation Serif" w:cs="Times New Roman"/>
          <w:sz w:val="24"/>
          <w:szCs w:val="24"/>
        </w:rPr>
        <w:t xml:space="preserve">_____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2.8. Источники данных: </w:t>
      </w:r>
      <w:r>
        <w:rPr>
          <w:rFonts w:ascii="Liberation Serif" w:hAnsi="Liberation Serif" w:cs="Times New Roman"/>
          <w:sz w:val="24"/>
          <w:szCs w:val="24"/>
        </w:rPr>
        <w:t xml:space="preserve">________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2.9. Иная информация о проблеме:</w:t>
      </w:r>
      <w:r>
        <w:rPr>
          <w:rFonts w:ascii="Liberation Serif" w:hAnsi="Liberation Serif" w:cs="Times New Roman"/>
          <w:sz w:val="24"/>
          <w:szCs w:val="24"/>
        </w:rPr>
        <w:t xml:space="preserve"> _______ 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/>
      <w:bookmarkStart w:id="2" w:name="P443"/>
      <w:r/>
      <w:bookmarkEnd w:id="2"/>
      <w:r>
        <w:rPr>
          <w:rFonts w:ascii="Liberation Serif" w:hAnsi="Liberation Serif" w:cs="Times New Roman"/>
          <w:sz w:val="24"/>
          <w:szCs w:val="24"/>
        </w:rPr>
        <w:t xml:space="preserve">3. Определение целей предлагаемого правового регулирования и</w:t>
      </w:r>
      <w:r/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индикаторов для оценки их достижения:</w:t>
      </w:r>
      <w:r/>
    </w:p>
    <w:tbl>
      <w:tblPr>
        <w:tblW w:w="9582" w:type="dxa"/>
        <w:jc w:val="center"/>
        <w:tblInd w:w="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65"/>
        <w:gridCol w:w="3175"/>
        <w:gridCol w:w="3742"/>
      </w:tblGrid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3.1. Цели предлагаемого правового регулирования</w:t>
            </w:r>
            <w:r/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3.2. Сроки достижения целей предлагаемого правового регулирования</w:t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3.3. Периодичность мониторинга достижения целей предлагаемого правового регулирования</w:t>
            </w:r>
            <w:r/>
          </w:p>
        </w:tc>
      </w:tr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(Цель 1)</w:t>
            </w:r>
            <w:r/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(Цель 2)</w:t>
            </w:r>
            <w:r/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(Цель 3)</w:t>
            </w:r>
            <w:r/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3.4. Действующие нормативные правовые акты, поручения,</w:t>
      </w:r>
      <w:r>
        <w:rPr>
          <w:rFonts w:ascii="Liberation Serif" w:hAnsi="Liberation Serif" w:cs="Times New Roman"/>
          <w:sz w:val="24"/>
          <w:szCs w:val="24"/>
        </w:rPr>
        <w:t xml:space="preserve">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_____________________________________________________________________________</w:t>
      </w:r>
      <w:r/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(указывается нормативный правовой акт более высокого уровня либо инициативный порядок разработки)</w:t>
      </w:r>
      <w:r/>
    </w:p>
    <w:p>
      <w:pPr>
        <w:pStyle w:val="815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tbl>
      <w:tblPr>
        <w:tblW w:w="0" w:type="auto"/>
        <w:jc w:val="center"/>
        <w:tblInd w:w="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438"/>
        <w:gridCol w:w="3005"/>
        <w:gridCol w:w="1531"/>
        <w:gridCol w:w="2438"/>
      </w:tblGrid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3.5. Цели предлагаемого правового регулирования</w:t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3.6. Индикаторы достижения целей предлагаемого правового регулирования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3.7. Единица измерения индикаторов</w:t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3.8. Целевые значения индикаторов по годам</w:t>
            </w:r>
            <w:r/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Цель 1</w:t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1.1. Индикатор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Цель 2</w:t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1.2. Индикатор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расчетов:______________________________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3.10. Оценка затрат на проведение мониторинга достижения целей предлагаемого правового регулирования: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затраты отсутствуют;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Качественная характеристика и оценка численности потенциальных адресатов предлагаемого правового регулирования (их групп):</w:t>
      </w:r>
      <w:r/>
    </w:p>
    <w:tbl>
      <w:tblPr>
        <w:tblW w:w="0" w:type="auto"/>
        <w:tblInd w:w="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783"/>
        <w:gridCol w:w="2041"/>
        <w:gridCol w:w="1701"/>
      </w:tblGrid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/>
            <w:bookmarkStart w:id="3" w:name="P500"/>
            <w:r/>
            <w:bookmarkEnd w:id="3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4.1. Группы потенциальных адресатов предлагаемого правового регулирования (краткое описание их качественных характеристик)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4.2. Количество участников группы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4.3. Источники данных</w:t>
            </w:r>
            <w:r/>
          </w:p>
        </w:tc>
      </w:tr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(Группа 1)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(Группа 2)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(Группа 3)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/>
    </w:p>
    <w:tbl>
      <w:tblPr>
        <w:tblW w:w="0" w:type="auto"/>
        <w:tblInd w:w="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381"/>
        <w:gridCol w:w="2098"/>
        <w:gridCol w:w="1191"/>
        <w:gridCol w:w="2324"/>
        <w:gridCol w:w="1587"/>
      </w:tblGrid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/>
            <w:bookmarkStart w:id="4" w:name="P518"/>
            <w:r/>
            <w:bookmarkEnd w:id="4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5.1. Наименование функции (полномочия, обязанности или права)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5.2. Характер функции (новая/изменяемая/отменяемая)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5.3.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Предпола-гаемый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порядок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реализа-ции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5.4. Оценка изменения трудовых затрат (чел./час в год), изменения численности сотрудников (чел.)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5.5. Оценка изменения потребностей в других ресурсах</w:t>
            </w:r>
            <w:r/>
          </w:p>
        </w:tc>
      </w:tr>
      <w:tr>
        <w:trPr/>
        <w:tc>
          <w:tcPr>
            <w:gridSpan w:val="5"/>
            <w:tcW w:w="95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 Наименование структурного подразделения органа местного самоуправления</w:t>
            </w:r>
            <w:r/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Функция (полномочие, обязанность или право)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Функция (полномочие, обязанность или право)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95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2. Наименование структурного подразделения органа местного самоуправления</w:t>
            </w:r>
            <w:r/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Функция (полномочие,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обязанность или право)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Функция (полномочие, обязанность или право)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6. Оценка дополнительных расходов (доходов) </w:t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t xml:space="preserve">бюджет района, бюджет города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, связанных с введением предлагаемого правового регулирования: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0" w:type="auto"/>
        <w:tblInd w:w="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038"/>
        <w:gridCol w:w="4139"/>
        <w:gridCol w:w="2381"/>
      </w:tblGrid>
      <w:tr>
        <w:trPr/>
        <w:tc>
          <w:tcPr>
            <w:tcW w:w="3038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пунктом 5.1)</w:t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6.2. Виды расходов (возможных поступлений) бюджет района, бюджет города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6.3. Количественная оценка расходов и возможных поступлений (млн. рублей)</w:t>
            </w:r>
            <w:r/>
          </w:p>
        </w:tc>
      </w:tr>
      <w:tr>
        <w:trPr/>
        <w:tc>
          <w:tcPr>
            <w:gridSpan w:val="3"/>
            <w:tcW w:w="9558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органа местного самоуправления </w:t>
            </w:r>
            <w:r/>
          </w:p>
        </w:tc>
      </w:tr>
      <w:tr>
        <w:trPr/>
        <w:tc>
          <w:tcPr>
            <w:tcW w:w="3038" w:type="dxa"/>
            <w:vMerge w:val="restart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1.1. Функция (полномочие, обязанность или право)</w:t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единовременные расходы в _____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периодические расходы за период _____ 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возможные доходы за период ______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038" w:type="dxa"/>
            <w:vMerge w:val="restart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1.2. Функция (полномочие, обязанность или право)</w:t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единовременные расходы в ______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периодические расходы за период ______ 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возможные доходы за период ______ 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Итого единовременные расходы за период _____ гг.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Итого периодические расходы за период _____ гг.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Итого возможные доходы за период _____ гг.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6.4. Другие сведения о дополнительных расходах (доходах) </w:t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t xml:space="preserve">бюджет района, бюджет города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, возникающих в связи с введением предлагаемого правового регулирования: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отсутствуют;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6.5. Источники данных: ___________________________________________________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0" w:type="auto"/>
        <w:jc w:val="center"/>
        <w:tblInd w:w="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1701"/>
        <w:gridCol w:w="1474"/>
      </w:tblGrid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пунктом 4.1 сводного отчета)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7.3. Описание расходов и возможных доходов, связанных с введением предлагаемого правового регулирования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7.4. Количественная оценка (млн. рублей)</w:t>
            </w:r>
            <w:r/>
          </w:p>
        </w:tc>
      </w:tr>
      <w:tr>
        <w:trPr>
          <w:jc w:val="center"/>
        </w:trPr>
        <w:tc>
          <w:tcPr>
            <w:tcW w:w="2665" w:type="dxa"/>
            <w:vMerge w:val="restart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Группа 1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2665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2665" w:type="dxa"/>
            <w:vMerge w:val="restart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Группа 2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2665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7.5. Издержки и выгоды адресатов предлагаемого правового регулирования, не поддающиеся количественной оценке: 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7.6. Источники данных: ___________________________________________________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8. Оценка рисков неблагоприятных последствий применения предлагаемого правового регулирования: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0" w:type="auto"/>
        <w:jc w:val="center"/>
        <w:tblInd w:w="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814"/>
        <w:gridCol w:w="3345"/>
        <w:gridCol w:w="1417"/>
        <w:gridCol w:w="2835"/>
      </w:tblGrid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8.1. Виды рисков</w:t>
            </w:r>
            <w:r/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8.2. Оценка вероятности наступления неблагоприятных последствий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8.3. Методы контроля рисков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8.4.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Степень контроля рисков (полный/частичный/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отсутствует)</w:t>
            </w:r>
            <w:r/>
          </w:p>
        </w:tc>
      </w:tr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Риск 1</w:t>
            </w:r>
            <w:r/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Риск 2</w:t>
            </w:r>
            <w:r/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8.5. Источники данных:__________________________________________________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9. Сравнение возможных вариантов решения проблемы: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0" w:type="auto"/>
        <w:tblInd w:w="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953"/>
        <w:gridCol w:w="1191"/>
        <w:gridCol w:w="1191"/>
        <w:gridCol w:w="1191"/>
      </w:tblGrid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Вариант 1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Вариант 2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Вариант 3</w:t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9.1. Содержание варианта решения проблемы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9.4. Оценка расходов (доходов) </w:t>
            </w:r>
            <w:r>
              <w:rPr>
                <w:rFonts w:ascii="Liberation Serif" w:hAnsi="Liberation Serif" w:cs="Times New Roman" w:eastAsiaTheme="minorHAnsi"/>
                <w:sz w:val="24"/>
                <w:szCs w:val="24"/>
                <w:lang w:eastAsia="en-US"/>
              </w:rPr>
              <w:t xml:space="preserve">бюджет района, бюджет города</w:t>
            </w:r>
            <w:r>
              <w:rPr>
                <w:rFonts w:ascii="Liberation Serif" w:hAnsi="Liberation Serif" w:cs="Times New Roman" w:eastAsiaTheme="minorHAnsi"/>
                <w:sz w:val="24"/>
                <w:szCs w:val="24"/>
              </w:rPr>
              <w:t xml:space="preserve">, связанных с введением предлагаемого правового регулирования</w: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9.6. Оценка рисков неблагоприятных последствий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9.7. Обоснование выбора предпочтительного варианта решения выявленной проблемы: ____________________________________________________________________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9.8. Детальное описание предлагаемого варианта решения проблемы:__________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eastAsiaTheme="minorHAnsi"/>
        </w:rPr>
      </w:r>
      <w:bookmarkStart w:id="5" w:name="P672"/>
      <w:r>
        <w:rPr>
          <w:rFonts w:eastAsiaTheme="minorHAnsi"/>
        </w:rPr>
      </w:r>
      <w:bookmarkEnd w:id="5"/>
      <w:r>
        <w:rPr>
          <w:rFonts w:ascii="Liberation Serif" w:hAnsi="Liberation Serif" w:cs="Times New Roman" w:eastAsiaTheme="minorHAnsi"/>
          <w:sz w:val="24"/>
          <w:szCs w:val="24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необходимость установления переходного периода отсутствует;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10.1. Нормативно правового акта вступил в силу: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14.01.2022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(если положения вводятся в действие в разное время, указывается статья (пункт проекта) акта 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и дата введения)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есть 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(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нет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а) срок переходного периода: __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0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__ дней 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с даты принятия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проекта нормативного правового акта;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б) отсрочка введения предлагаемого правового регулирования: __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0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_ дней 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с даты принятия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проекта нормативного правового акта.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10.3. Необходимость распространения предлагаемого правового регулирования на ранее возникшие отношения: есть (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нет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10.3.1. Период распространения на ранее возникшие отношения: ___ дней 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с даты принятия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проекта нормативного правового акта.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10.4. 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eastAsiaTheme="minorHAnsi"/>
        </w:rPr>
      </w:r>
      <w:bookmarkStart w:id="6" w:name="P697"/>
      <w:r>
        <w:rPr>
          <w:rFonts w:eastAsiaTheme="minorHAnsi"/>
        </w:rPr>
      </w:r>
      <w:bookmarkEnd w:id="6"/>
      <w:r>
        <w:rPr>
          <w:rFonts w:ascii="Liberation Serif" w:hAnsi="Liberation Serif" w:cs="Times New Roman" w:eastAsiaTheme="minorHAnsi"/>
          <w:sz w:val="24"/>
          <w:szCs w:val="24"/>
        </w:rPr>
        <w:t xml:space="preserve">11. Информация о сроках проведения публичных консультаций по проекту нормативного правового акта и сводному отчету (заполняется по итогам проведения публичных консультаций по проекту нормативного правового акта и сводного отчета):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11.1. Срок, в течение которого принимались предложения в связи с публичными консультациями по нормативно правовому акту и сводному отчету об оценке регулирующего воздействия: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начало: 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06.09.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20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23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г.;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окончание: 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26.09.2023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г.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проекту нормативного правового акта: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0 (ноль)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,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 замечания и предложения к  нормативно правовому акту 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постановления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Администрации Пуровского района 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от 1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4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.0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1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.2022 № 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5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 – 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П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А 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«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О внесении изменений в Положение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 о размещении нестационарных торговых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 объектов на территории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 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муниципального округа Пуровский район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, </w:t>
      </w:r>
      <w:r>
        <w:rPr>
          <w:rFonts w:ascii="Liberation Serif" w:hAnsi="Liberation Serif" w:cs="Liberation Serif" w:eastAsia="Liberation Serif" w:eastAsiaTheme="minorHAnsi"/>
          <w:b w:val="false"/>
          <w:sz w:val="24"/>
          <w:u w:val="single"/>
          <w:lang w:eastAsia="en-US"/>
        </w:rPr>
        <w:t xml:space="preserve">утвержденное постановлением Администрации Пуровского района от 24.02.2021</w:t>
      </w:r>
      <w:r>
        <w:rPr>
          <w:rFonts w:ascii="Liberation Serif" w:hAnsi="Liberation Serif" w:cs="Liberation Serif" w:eastAsia="Liberation Serif" w:eastAsiaTheme="minorHAnsi"/>
          <w:b w:val="false"/>
          <w:sz w:val="24"/>
          <w:u w:val="single"/>
          <w:lang w:eastAsia="en-US"/>
        </w:rPr>
        <w:t xml:space="preserve"> </w:t>
      </w:r>
      <w:r>
        <w:rPr>
          <w:rFonts w:ascii="Liberation Serif" w:hAnsi="Liberation Serif" w:cs="Liberation Serif" w:eastAsia="Liberation Serif" w:eastAsiaTheme="minorHAnsi"/>
          <w:b w:val="false"/>
          <w:sz w:val="24"/>
          <w:u w:val="single"/>
          <w:lang w:eastAsia="en-US"/>
        </w:rPr>
        <w:t xml:space="preserve">№ 95-</w:t>
      </w:r>
      <w:r>
        <w:rPr>
          <w:rFonts w:ascii="Liberation Serif" w:hAnsi="Liberation Serif" w:cs="Liberation Serif" w:eastAsia="Liberation Serif" w:eastAsiaTheme="minorHAnsi"/>
          <w:b w:val="false"/>
          <w:sz w:val="24"/>
          <w:u w:val="single"/>
          <w:lang w:eastAsia="en-US"/>
        </w:rPr>
        <w:t xml:space="preserve">ПА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 </w:t>
      </w:r>
      <w:r>
        <w:rPr>
          <w:rFonts w:ascii="Liberation Serif" w:hAnsi="Liberation Serif" w:cs="Liberation Serif" w:eastAsia="Liberation Serif" w:eastAsiaTheme="minorHAnsi"/>
          <w:b w:val="false"/>
          <w:sz w:val="24"/>
          <w:szCs w:val="24"/>
          <w:u w:val="single"/>
        </w:rPr>
        <w:t xml:space="preserve">(с изменениями от 16.06.2021 № 300-ПА)</w:t>
      </w:r>
      <w:r>
        <w:rPr>
          <w:rFonts w:ascii="Liberation Serif" w:hAnsi="Liberation Serif" w:cs="Liberation Serif" w:eastAsia="Liberation Serif" w:eastAsiaTheme="minorHAnsi"/>
          <w:b w:val="false"/>
          <w:sz w:val="24"/>
          <w:szCs w:val="24"/>
          <w:u w:val="single"/>
        </w:rPr>
        <w:t xml:space="preserve">»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 не поступали;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Всего замечаний и предложений: 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ноль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, из них учтено полностью: 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ноль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, учтено частично: 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ноль;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eastAsiaTheme="minorHAnsi"/>
        </w:rPr>
      </w:r>
      <w:r>
        <w:rPr>
          <w:rFonts w:eastAsiaTheme="minorHAnsi"/>
        </w:rPr>
      </w:r>
      <w:hyperlink r:id="rId9" w:tooltip="https://www.puradm.ru/deyatelnost/ekonomika-rayona/otsenka-reguliruyushchego-vozdeystviya/publichnye-konsultatsii/%D0%A1%D0%B2%D0%BE%D0%B4 %D0%BF%D1%80%D0%B5%D0%B4%D0%BB%D0%BE%D0%B6%D0%B5%D0%BD%D0%B8%D0%B9 4.pdf" w:history="1">
        <w:r>
          <w:rPr>
            <w:rStyle w:val="818"/>
            <w:rFonts w:eastAsiaTheme="minorHAnsi"/>
          </w:rPr>
        </w:r>
        <w:r>
          <w:rPr>
            <w:rStyle w:val="818"/>
            <w:rFonts w:eastAsiaTheme="minorHAnsi"/>
          </w:rPr>
          <w:t xml:space="preserve">https://www.puradm.ru/deyatelnost/ekonomika-rayona/otsenka-reguliruyushchego-vozdeystviya/publichnye-konsultatsii/%D0%A1%D0%B2%D0%BE%D0%B4%20%D0%BF%D1%80%D0%B5%D0%B4%D0%BB%D0%BE%D0%B6%D0%B5%D0%BD%D0%B8%D0%B9%205.pdf</w:t>
        </w:r>
        <w:r>
          <w:rPr>
            <w:rStyle w:val="818"/>
            <w:rFonts w:eastAsiaTheme="minorHAnsi"/>
          </w:rPr>
        </w:r>
      </w:hyperlink>
      <w:r>
        <w:rPr>
          <w:rFonts w:eastAsiaTheme="minorHAnsi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Приложение.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: 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предложения не поступали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Иные приложения (по усмотрению органа-разработчика).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 w:eastAsiaTheme="minorHAnsi"/>
        </w:rPr>
        <w:t xml:space="preserve"> Заместитель начальника департамента,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widowControl w:val="off"/>
        <w:rPr>
          <w:rFonts w:ascii="Liberation Serif" w:hAnsi="Liberation Serif"/>
        </w:rPr>
      </w:pPr>
      <w:r>
        <w:rPr>
          <w:rFonts w:ascii="Liberation Serif" w:hAnsi="Liberation Serif" w:eastAsiaTheme="minorHAnsi"/>
        </w:rPr>
        <w:t xml:space="preserve">начальник управления                                                                                                    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widowControl w:val="off"/>
        <w:rPr>
          <w:rFonts w:ascii="Liberation Serif" w:hAnsi="Liberation Serif"/>
        </w:rPr>
      </w:pPr>
      <w:r>
        <w:rPr>
          <w:rFonts w:ascii="Liberation Serif" w:hAnsi="Liberation Serif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widowControl w:val="off"/>
        <w:rPr>
          <w:rFonts w:ascii="Liberation Serif" w:hAnsi="Liberation Serif"/>
          <w:u w:val="single"/>
        </w:rPr>
      </w:pPr>
      <w:r>
        <w:rPr>
          <w:rFonts w:ascii="Liberation Serif" w:hAnsi="Liberation Serif" w:eastAsiaTheme="minorHAnsi"/>
          <w:u w:val="single"/>
        </w:rPr>
        <w:t xml:space="preserve"> </w:t>
      </w:r>
      <w:r>
        <w:rPr>
          <w:rFonts w:ascii="Liberation Serif" w:hAnsi="Liberation Serif" w:eastAsiaTheme="minorHAnsi"/>
          <w:u w:val="single"/>
        </w:rPr>
        <w:t xml:space="preserve">17.10.2023        </w:t>
      </w:r>
      <w:r>
        <w:rPr>
          <w:rFonts w:ascii="Liberation Serif" w:hAnsi="Liberation Serif" w:eastAsiaTheme="minorHAnsi"/>
        </w:rPr>
        <w:t xml:space="preserve">  ________________  </w:t>
      </w:r>
      <w:r>
        <w:rPr>
          <w:rFonts w:ascii="Liberation Serif" w:hAnsi="Liberation Serif" w:eastAsiaTheme="minorHAnsi"/>
          <w:u w:val="single"/>
        </w:rPr>
        <w:t xml:space="preserve">     М.В. Губарь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widowControl w:val="off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</w:rPr>
        <w:t xml:space="preserve">       (дата)                            (подпись)              (инициалы, фамилия)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</w:rPr>
        <w:t xml:space="preserve">Дубинин Дмитрий Федорович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</w:rPr>
        <w:t xml:space="preserve">начальник отдела общественного питания,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</w:rPr>
        <w:t xml:space="preserve">торговли и бытового обслуживания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 w:eastAsiaTheme="minorHAnsi"/>
          <w:sz w:val="20"/>
          <w:szCs w:val="20"/>
        </w:rPr>
        <w:t xml:space="preserve">8 (34997) 6-06-53, </w:t>
      </w:r>
      <w:hyperlink r:id="rId10" w:tooltip="mailto:rntorg@bk.ru" w:history="1">
        <w:r>
          <w:rPr>
            <w:rFonts w:ascii="Liberation Serif" w:hAnsi="Liberation Serif" w:eastAsiaTheme="minorHAnsi"/>
            <w:color w:val="0000FF"/>
            <w:sz w:val="20"/>
            <w:szCs w:val="20"/>
            <w:u w:val="single"/>
            <w:lang w:val="en-US"/>
          </w:rPr>
          <w:t xml:space="preserve">rntorg</w:t>
        </w:r>
        <w:r>
          <w:rPr>
            <w:rFonts w:ascii="Liberation Serif" w:hAnsi="Liberation Serif" w:eastAsiaTheme="minorHAnsi"/>
            <w:color w:val="0000FF"/>
            <w:sz w:val="20"/>
            <w:szCs w:val="20"/>
            <w:u w:val="single"/>
          </w:rPr>
          <w:t xml:space="preserve">@</w:t>
        </w:r>
        <w:r>
          <w:rPr>
            <w:rFonts w:ascii="Liberation Serif" w:hAnsi="Liberation Serif" w:eastAsiaTheme="minorHAnsi"/>
            <w:color w:val="0000FF"/>
            <w:sz w:val="20"/>
            <w:szCs w:val="20"/>
            <w:u w:val="single"/>
            <w:lang w:val="en-US"/>
          </w:rPr>
          <w:t xml:space="preserve">bk</w:t>
        </w:r>
        <w:r>
          <w:rPr>
            <w:rFonts w:ascii="Liberation Serif" w:hAnsi="Liberation Serif" w:eastAsiaTheme="minorHAnsi"/>
            <w:color w:val="0000FF"/>
            <w:sz w:val="20"/>
            <w:szCs w:val="20"/>
            <w:u w:val="single"/>
          </w:rPr>
          <w:t xml:space="preserve">.</w:t>
        </w:r>
        <w:r>
          <w:rPr>
            <w:rFonts w:ascii="Liberation Serif" w:hAnsi="Liberation Serif" w:eastAsiaTheme="minorHAnsi"/>
            <w:color w:val="0000FF"/>
            <w:sz w:val="20"/>
            <w:szCs w:val="20"/>
            <w:u w:val="single"/>
            <w:lang w:val="en-US"/>
          </w:rPr>
          <w:t xml:space="preserve">ru</w:t>
        </w:r>
      </w:hyperlink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1134" w:right="424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ConsPlusNormal"/>
    <w:rPr>
      <w:rFonts w:ascii="Calibri" w:hAnsi="Calibri" w:cs="Calibri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816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817" w:customStyle="1">
    <w:name w:val="Знак Знак Знак Знак"/>
    <w:basedOn w:val="811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818">
    <w:name w:val="Hyperlink"/>
    <w:basedOn w:val="812"/>
    <w:uiPriority w:val="99"/>
    <w:unhideWhenUsed/>
    <w:rPr>
      <w:color w:val="0000FF" w:themeColor="hyperlink"/>
      <w:u w:val="single"/>
    </w:rPr>
  </w:style>
  <w:style w:type="character" w:styleId="819">
    <w:name w:val="FollowedHyperlink"/>
    <w:basedOn w:val="812"/>
    <w:uiPriority w:val="99"/>
    <w:semiHidden/>
    <w:unhideWhenUsed/>
    <w:rPr>
      <w:color w:val="800080" w:themeColor="followedHyperlink"/>
      <w:u w:val="single"/>
    </w:rPr>
  </w:style>
  <w:style w:type="paragraph" w:styleId="820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1">
    <w:name w:val="Без интервала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www.puradm.ru/deyatelnost/ekonomika-rayona/otsenka-reguliruyushchego-vozdeystviya/publichnye-konsultatsii/%D0%A1%D0%B2%D0%BE%D0%B4 %D0%BF%D1%80%D0%B5%D0%B4%D0%BB%D0%BE%D0%B6%D0%B5%D0%BD%D0%B8%D0%B9 4.pdf" TargetMode="External"/><Relationship Id="rId10" Type="http://schemas.openxmlformats.org/officeDocument/2006/relationships/hyperlink" Target="mailto:rntorg@b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Дубинин</dc:creator>
  <cp:keywords/>
  <dc:description/>
  <cp:revision>7</cp:revision>
  <dcterms:created xsi:type="dcterms:W3CDTF">2022-06-28T09:31:00Z</dcterms:created>
  <dcterms:modified xsi:type="dcterms:W3CDTF">2023-10-17T06:20:44Z</dcterms:modified>
</cp:coreProperties>
</file>