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Решение Думы Пуровского района </w:t>
      </w:r>
      <w:r>
        <w:rPr>
          <w:rFonts w:ascii="Liberation Serif" w:hAnsi="Liberation Serif" w:eastAsia="Liberation Serif" w:cs="Liberation Serif"/>
          <w:color w:val="000000"/>
          <w:sz w:val="24"/>
          <w:highlight w:val="white"/>
        </w:rPr>
        <w:t xml:space="preserve">от 27 октября 2022 года №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  <w:t xml:space="preserve">423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«О внесении изменений в пункт 1.3. Раздела </w:t>
      </w:r>
      <w:r>
        <w:rPr>
          <w:rFonts w:ascii="Liberation Serif" w:hAnsi="Liberation Serif" w:eastAsia="Liberation Serif" w:cs="Liberation Serif"/>
          <w:color w:val="000000"/>
          <w:sz w:val="24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color w:val="000000"/>
          <w:sz w:val="24"/>
          <w:lang w:val="ru-RU"/>
        </w:rPr>
        <w:t xml:space="preserve"> Положения об организации и осуществлении муниципального контроля на территории муниципального земельного контроля на территории</w:t>
      </w:r>
      <w:r>
        <w:rPr>
          <w:rFonts w:ascii="Liberation Serif" w:hAnsi="Liberation Serif" w:eastAsia="Liberation Serif" w:cs="Liberation Serif"/>
          <w:color w:val="000000"/>
          <w:sz w:val="24"/>
          <w:highlight w:val="white"/>
        </w:rPr>
        <w:t xml:space="preserve">»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Документы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Изменения не вносились</w:t>
      </w:r>
      <w:r>
        <w:rPr>
          <w:rFonts w:ascii="Liberation Serif" w:hAnsi="Liberation Serif" w:eastAsia="Liberation Serif" w:cs="Liberation Serif"/>
          <w:color w:val="000000"/>
          <w:sz w:val="24"/>
          <w:lang w:val="ru-RU"/>
        </w:rPr>
        <w:t xml:space="preserve">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фактического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воздействия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Сводный отчет и заключение </w:t>
      </w:r>
      <w:r>
        <w:rPr>
          <w:rFonts w:ascii="Liberation Serif" w:hAnsi="Liberation Serif"/>
          <w:sz w:val="24"/>
          <w:szCs w:val="24"/>
        </w:rPr>
        <w:t xml:space="preserve">размещен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</w:t>
      </w:r>
      <w:r>
        <w:rPr>
          <w:rFonts w:ascii="Liberation Serif" w:hAnsi="Liberation Serif"/>
          <w:sz w:val="24"/>
          <w:szCs w:val="24"/>
        </w:rPr>
        <w:t xml:space="preserve">действия».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4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Действие решения Думы затрагивает интересы, в том числе субъектов малого и среднего предпринимательства, осуществляющих свою деятельность на территории муниципального округа Пуровский район.  </w:t>
      </w:r>
      <w:r/>
    </w:p>
    <w:p>
      <w:pPr>
        <w:pStyle w:val="832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31 января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22</w:t>
      </w:r>
      <w:r>
        <w:rPr>
          <w:rFonts w:ascii="Liberation Serif" w:hAnsi="Liberation Serif"/>
          <w:sz w:val="24"/>
          <w:szCs w:val="24"/>
        </w:rPr>
        <w:t xml:space="preserve"> года и по состоянию на </w:t>
      </w:r>
      <w:r>
        <w:rPr>
          <w:rFonts w:ascii="Liberation Serif" w:hAnsi="Liberation Serif"/>
          <w:sz w:val="24"/>
          <w:szCs w:val="24"/>
        </w:rPr>
        <w:t xml:space="preserve">09 октября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23</w:t>
      </w:r>
      <w:r>
        <w:rPr>
          <w:rFonts w:ascii="Liberation Serif" w:hAnsi="Liberation Serif"/>
          <w:sz w:val="24"/>
          <w:szCs w:val="24"/>
        </w:rPr>
        <w:t xml:space="preserve">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</w:t>
      </w:r>
      <w:r>
        <w:rPr>
          <w:rFonts w:ascii="Liberation Serif" w:hAnsi="Liberation Serif"/>
          <w:sz w:val="24"/>
          <w:szCs w:val="24"/>
        </w:rPr>
        <w:t xml:space="preserve">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снижение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регуляторного воздействия на субъект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ы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, установлен приор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тет профилактики,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 развитием информационных систем контроль стал прозрачнее для бизнеса, управление рисками стало основой для всех видов контроля.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Сведения о реализации методов контроля эффе</w:t>
      </w:r>
      <w:r>
        <w:rPr>
          <w:rFonts w:ascii="Liberation Serif" w:hAnsi="Liberation Serif"/>
          <w:b/>
          <w:sz w:val="24"/>
          <w:szCs w:val="24"/>
        </w:rPr>
        <w:t xml:space="preserve">ктивности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 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46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</w:t>
      </w:r>
      <w:r>
        <w:rPr>
          <w:rFonts w:ascii="Liberation Serif" w:hAnsi="Liberation Serif"/>
          <w:sz w:val="24"/>
          <w:szCs w:val="24"/>
        </w:rPr>
        <w:t xml:space="preserve">Цель 1 - н</w:t>
      </w:r>
      <w:r>
        <w:rPr>
          <w:rFonts w:ascii="Liberation Serif" w:hAnsi="Liberation Serif"/>
          <w:sz w:val="24"/>
          <w:szCs w:val="24"/>
        </w:rPr>
        <w:t xml:space="preserve">едопущение проведения контрольных мероприятий с грубым нарушение</w:t>
      </w:r>
      <w:r>
        <w:rPr>
          <w:rFonts w:ascii="Liberation Serif" w:hAnsi="Liberation Serif"/>
          <w:sz w:val="24"/>
          <w:szCs w:val="24"/>
        </w:rPr>
        <w:t xml:space="preserve">м требований, результаты которых отменены судом, в общем количестве проведенных контрольных мероприятий. Индикаторы отсутствуют. Цель 2 - изменение направления контрольной деятельности с проверочных мероприятий на профилактические. 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проведения оценки </w:t>
      </w:r>
      <w:r>
        <w:rPr>
          <w:rFonts w:ascii="Liberation Serif" w:hAnsi="Liberation Serif"/>
          <w:b/>
          <w:sz w:val="24"/>
          <w:szCs w:val="24"/>
        </w:rPr>
        <w:t xml:space="preserve">фактического</w:t>
      </w:r>
      <w:r>
        <w:rPr>
          <w:rFonts w:ascii="Liberation Serif" w:hAnsi="Liberation Serif"/>
          <w:b/>
          <w:sz w:val="24"/>
          <w:szCs w:val="24"/>
        </w:rPr>
        <w:t xml:space="preserve">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проекта </w:t>
      </w: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ешения Думы проведена </w:t>
      </w:r>
      <w:r>
        <w:rPr>
          <w:rFonts w:ascii="Liberation Serif" w:hAnsi="Liberation Serif"/>
          <w:sz w:val="24"/>
          <w:szCs w:val="24"/>
        </w:rPr>
        <w:t xml:space="preserve">оценка регулирующего воздействия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</w:t>
      </w:r>
      <w:r>
        <w:rPr>
          <w:rFonts w:ascii="Liberation Serif" w:hAnsi="Liberation Serif"/>
          <w:sz w:val="24"/>
          <w:szCs w:val="24"/>
        </w:rPr>
        <w:t xml:space="preserve">водный отчёт о результатах проведения оценки регулирующего воздействия содерж</w:t>
      </w:r>
      <w:r>
        <w:rPr>
          <w:rFonts w:ascii="Liberation Serif" w:hAnsi="Liberation Serif"/>
          <w:sz w:val="24"/>
          <w:szCs w:val="24"/>
        </w:rPr>
        <w:t xml:space="preserve">ит</w:t>
      </w:r>
      <w:r>
        <w:rPr>
          <w:rFonts w:ascii="Liberation Serif" w:hAnsi="Liberation Serif"/>
          <w:sz w:val="24"/>
          <w:szCs w:val="24"/>
        </w:rPr>
        <w:t xml:space="preserve"> индикативные показатели достижения целей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фактические значения отсутствует.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 xml:space="preserve">ответственност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 за нарушение установленных</w:t>
      </w:r>
      <w:r>
        <w:rPr>
          <w:rFonts w:ascii="Liberation Serif" w:hAnsi="Liberation Serif"/>
          <w:sz w:val="24"/>
          <w:szCs w:val="24"/>
        </w:rPr>
        <w:t xml:space="preserve"> Положением о муниципальном земельном контроле </w:t>
      </w:r>
      <w:r>
        <w:rPr>
          <w:rFonts w:ascii="Liberation Serif" w:hAnsi="Liberation Serif"/>
          <w:sz w:val="24"/>
          <w:szCs w:val="24"/>
        </w:rPr>
        <w:t xml:space="preserve">требований</w:t>
      </w:r>
      <w:r>
        <w:rPr>
          <w:rFonts w:ascii="Liberation Serif" w:hAnsi="Liberation Serif"/>
          <w:sz w:val="24"/>
          <w:szCs w:val="24"/>
        </w:rPr>
        <w:t xml:space="preserve"> контролируемые лица не привлекались.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 </w:t>
      </w:r>
      <w:r>
        <w:rPr>
          <w:rFonts w:ascii="Liberation Serif" w:hAnsi="Liberation Serif"/>
          <w:sz w:val="24"/>
          <w:szCs w:val="24"/>
        </w:rPr>
        <w:t xml:space="preserve">с 09.10.2023</w:t>
      </w:r>
      <w:r>
        <w:rPr>
          <w:rFonts w:ascii="Liberation Serif" w:hAnsi="Liberation Serif"/>
          <w:sz w:val="24"/>
          <w:szCs w:val="24"/>
        </w:rPr>
        <w:t xml:space="preserve"> по 30.10.2023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13.2.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 </w:t>
      </w:r>
      <w:r>
        <w:rPr>
          <w:rFonts w:ascii="Liberation Serif" w:hAnsi="Liberation Serif"/>
          <w:sz w:val="24"/>
          <w:szCs w:val="24"/>
          <w:u w:val="single"/>
        </w:rPr>
        <w:t xml:space="preserve">предложения не поступали.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13.3. Подготовленные на основе полученных выводов предложения об отмене или изменении нормативного правового акта, а также о принятии иных мер: </w:t>
      </w:r>
      <w:r>
        <w:rPr>
          <w:rFonts w:ascii="Liberation Serif" w:hAnsi="Liberation Serif"/>
          <w:sz w:val="24"/>
          <w:szCs w:val="24"/>
          <w:u w:val="single"/>
        </w:rPr>
        <w:t xml:space="preserve">отсутствуют.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</w:t>
      </w:r>
      <w:r>
        <w:rPr>
          <w:rFonts w:ascii="Liberation Serif" w:hAnsi="Liberation Serif"/>
          <w:sz w:val="24"/>
          <w:szCs w:val="24"/>
        </w:rPr>
        <w:t xml:space="preserve"> благоприятно воздействует на субъекты предпринимательской деятельности, данный вывод можно сделать в связи с отсутствием предложений при проведении публичных консультациях.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 w:line="240" w:lineRule="auto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3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09.10.2023</w:t>
      </w:r>
      <w:r>
        <w:rPr>
          <w:rFonts w:ascii="Liberation Serif" w:hAnsi="Liberation Serif"/>
          <w:sz w:val="24"/>
          <w:szCs w:val="24"/>
        </w:rPr>
        <w:t xml:space="preserve">, исполнитель: </w:t>
      </w:r>
      <w:r>
        <w:rPr>
          <w:rFonts w:ascii="Liberation Serif" w:hAnsi="Liberation Serif"/>
          <w:sz w:val="24"/>
          <w:szCs w:val="24"/>
        </w:rPr>
        <w:t xml:space="preserve">Абдуллина Вероника Сергеевна </w:t>
      </w:r>
      <w:r>
        <w:rPr>
          <w:rFonts w:ascii="Liberation Serif" w:hAnsi="Liberation Serif"/>
          <w:sz w:val="24"/>
          <w:szCs w:val="24"/>
        </w:rPr>
        <w:t xml:space="preserve">начальник отдела по земельному контролю </w:t>
      </w:r>
      <w:r>
        <w:rPr>
          <w:rFonts w:ascii="Liberation Serif" w:hAnsi="Liberation Serif"/>
          <w:sz w:val="24"/>
          <w:szCs w:val="24"/>
        </w:rPr>
        <w:t xml:space="preserve">управления земельных отношений Департамента имущественных и земельных отношений Администрации Пуровского района, тел. 8 (34997) </w:t>
      </w:r>
      <w:r>
        <w:rPr>
          <w:rFonts w:ascii="Liberation Serif" w:hAnsi="Liberation Serif"/>
          <w:sz w:val="24"/>
          <w:szCs w:val="24"/>
        </w:rPr>
        <w:t xml:space="preserve">2-</w:t>
      </w:r>
      <w:r>
        <w:rPr>
          <w:rFonts w:ascii="Liberation Serif" w:hAnsi="Liberation Serif"/>
          <w:sz w:val="24"/>
          <w:szCs w:val="24"/>
        </w:rPr>
        <w:t xml:space="preserve">33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87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Департамента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2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2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В.В. Боков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09.10.2023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next w:val="836"/>
    <w:link w:val="832"/>
    <w:rPr>
      <w:color w:val="0563c1"/>
      <w:u w:val="single"/>
    </w:rPr>
  </w:style>
  <w:style w:type="character" w:styleId="837">
    <w:name w:val="Просмотренная гиперссылка"/>
    <w:next w:val="837"/>
    <w:link w:val="832"/>
    <w:semiHidden/>
    <w:rPr>
      <w:color w:val="954f72"/>
      <w:u w:val="single"/>
    </w:rPr>
  </w:style>
  <w:style w:type="paragraph" w:styleId="838">
    <w:name w:val="Текст выноски"/>
    <w:basedOn w:val="832"/>
    <w:next w:val="838"/>
    <w:link w:val="83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39">
    <w:name w:val="Текст выноски Знак"/>
    <w:next w:val="839"/>
    <w:link w:val="838"/>
    <w:semiHidden/>
    <w:rPr>
      <w:rFonts w:ascii="Segoe UI" w:hAnsi="Segoe UI"/>
      <w:sz w:val="18"/>
      <w:szCs w:val="18"/>
    </w:rPr>
  </w:style>
  <w:style w:type="paragraph" w:styleId="840">
    <w:name w:val="Верхний колонтитул"/>
    <w:basedOn w:val="832"/>
    <w:next w:val="840"/>
    <w:link w:val="84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>
    <w:name w:val="Верхний колонтитул Знак"/>
    <w:next w:val="841"/>
    <w:link w:val="840"/>
  </w:style>
  <w:style w:type="paragraph" w:styleId="842">
    <w:name w:val="Нижний колонтитул"/>
    <w:basedOn w:val="832"/>
    <w:next w:val="842"/>
    <w:link w:val="84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>
    <w:name w:val="Нижний колонтитул Знак"/>
    <w:next w:val="843"/>
    <w:link w:val="842"/>
  </w:style>
  <w:style w:type="paragraph" w:styleId="844">
    <w:name w:val="Абзац списка"/>
    <w:basedOn w:val="832"/>
    <w:next w:val="844"/>
    <w:link w:val="832"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5">
    <w:name w:val="ConsPlusNormal"/>
    <w:next w:val="845"/>
    <w:link w:val="832"/>
    <w:pPr>
      <w:widowControl w:val="off"/>
    </w:pPr>
    <w:rPr>
      <w:rFonts w:eastAsia="Times New Roman"/>
      <w:sz w:val="22"/>
      <w:lang w:val="ru-RU" w:eastAsia="ru-RU" w:bidi="ar-SA"/>
    </w:rPr>
  </w:style>
  <w:style w:type="paragraph" w:styleId="846">
    <w:name w:val="ConsPlusNonformat"/>
    <w:next w:val="846"/>
    <w:link w:val="832"/>
    <w:pPr>
      <w:widowControl w:val="off"/>
    </w:pPr>
    <w:rPr>
      <w:rFonts w:ascii="Courier New" w:hAnsi="Courier New" w:eastAsia="Times New Roman"/>
      <w:lang w:val="ru-RU" w:eastAsia="ru-RU" w:bidi="ar-SA"/>
    </w:rPr>
  </w:style>
  <w:style w:type="paragraph" w:styleId="847">
    <w:name w:val="Без интервала"/>
    <w:next w:val="847"/>
    <w:link w:val="832"/>
    <w:rPr>
      <w:sz w:val="22"/>
      <w:szCs w:val="22"/>
      <w:lang w:val="ru-RU" w:eastAsia="en-US" w:bidi="ar-SA"/>
    </w:rPr>
  </w:style>
  <w:style w:type="paragraph" w:styleId="848">
    <w:name w:val="Подпись"/>
    <w:basedOn w:val="832"/>
    <w:next w:val="848"/>
    <w:link w:val="849"/>
    <w:semiHidden/>
    <w:pPr>
      <w:ind w:left="4252"/>
    </w:pPr>
  </w:style>
  <w:style w:type="character" w:styleId="849">
    <w:name w:val="Подпись Знак"/>
    <w:next w:val="849"/>
    <w:link w:val="848"/>
    <w:semiHidden/>
    <w:rPr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2023-10-05T05:58:48Z</dcterms:modified>
</cp:coreProperties>
</file>