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before="100" w:beforeAutospacing="1" w:after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Отдел </w:t>
      </w: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обеспечения мер социальной поддержки отдельных категорий граждан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Начальник отдела - Гомон Татьяна Алексеевна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Телефон (34997)- 2-12-10</w:t>
      </w:r>
      <w:r/>
    </w:p>
    <w:p>
      <w:pPr>
        <w:ind w:left="0" w:right="0" w:firstLine="0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Одной из основных задач отдела обеспечения мер социальной поддержки отдельным категориям граждан, является предоставление мер социальной поддержки и оказание государственной социальной помощи различным льготным категориям граждан, проживающим на территории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 Пуровского района.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Меры социальной поддержки и государственная социальная помощь предоставляются в соответствии с законодательством Российской Федерации, законами Ямало-Ненецкого автономного округа от 3 ноября 2006 года № 62-ЗАО «О мерах социальной поддер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жки отдельных категорий граждан в Ямало-Ненецком автономном округе», от 27 октября 2006 года № 55-ЗАО «О государственной социальной помощи в Ямало-Ненецком автономном округе», нормативными правовыми актами органов местного самоуправления.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Отдел обеспечения</w:t>
      </w:r>
      <w:r>
        <w:rPr>
          <w:rFonts w:ascii="Liberation Sans" w:hAnsi="Liberation Sans" w:cs="Liberation Sans"/>
          <w:sz w:val="24"/>
          <w:szCs w:val="24"/>
        </w:rPr>
        <w:t xml:space="preserve"> мер социальной поддержки отдельным категориям граждан предоставляет следующие меры социальной поддержки: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</w:t>
      </w:r>
      <w:r>
        <w:rPr>
          <w:rFonts w:ascii="Liberation Sans" w:hAnsi="Liberation Sans" w:cs="Liberation Sans"/>
          <w:sz w:val="24"/>
          <w:szCs w:val="24"/>
        </w:rPr>
        <w:t xml:space="preserve"> пособие неработающим пенсионерам и инвалидам;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дополнительное</w:t>
      </w:r>
      <w:r>
        <w:rPr>
          <w:rFonts w:ascii="Liberation Sans" w:hAnsi="Liberation Sans" w:cs="Liberation Sans"/>
          <w:sz w:val="24"/>
          <w:szCs w:val="24"/>
        </w:rPr>
        <w:t xml:space="preserve"> материального обеспечения граждан за особые услуги перед ЯНАО;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выплата пенсии за вы</w:t>
      </w:r>
      <w:r>
        <w:rPr>
          <w:rFonts w:ascii="Liberation Sans" w:hAnsi="Liberation Sans" w:cs="Liberation Sans"/>
          <w:sz w:val="24"/>
          <w:szCs w:val="24"/>
        </w:rPr>
        <w:t xml:space="preserve">слугу лет муниципальным служащим;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eastAsia="Times New Roman" w:cs="Liberation Sans"/>
          <w:color w:val="000000"/>
          <w:sz w:val="24"/>
        </w:rPr>
        <w:t xml:space="preserve">возмещение расходов в размере 100 процентов стоимости проезда по территории Российской Федерации один раз в год (туда и обратно) на железнодорожном транспорте, водном, воздушном, междугородном и личном автомобильном тран</w:t>
      </w:r>
      <w:r>
        <w:rPr>
          <w:rFonts w:ascii="Liberation Sans" w:hAnsi="Liberation Sans" w:eastAsia="Times New Roman" w:cs="Liberation Sans"/>
          <w:color w:val="000000"/>
          <w:sz w:val="24"/>
        </w:rPr>
        <w:t xml:space="preserve">спорте (кроме такси)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  <w:t xml:space="preserve">- </w:t>
      </w:r>
      <w:r>
        <w:rPr>
          <w:rFonts w:ascii="Liberation Sans" w:hAnsi="Liberation Sans" w:cs="Liberation Sans"/>
          <w:sz w:val="24"/>
          <w:szCs w:val="24"/>
          <w:highlight w:val="white"/>
        </w:rPr>
      </w:r>
      <w:r>
        <w:rPr>
          <w:rFonts w:ascii="Liberation Sans" w:hAnsi="Liberation Sans" w:cs="Liberation Sans"/>
          <w:sz w:val="24"/>
          <w:szCs w:val="24"/>
        </w:rPr>
        <w:t xml:space="preserve">ежемесячное пособие каждому из родителей участников вооруженных конфликтов, погибших (умерших) в период прохождения военной службы (за исключением случаев, когда смерть наступила в результате их противоправных действий), независимо</w:t>
      </w:r>
      <w:r>
        <w:rPr>
          <w:rFonts w:ascii="Liberation Sans" w:hAnsi="Liberation Sans" w:cs="Liberation Sans"/>
          <w:sz w:val="24"/>
          <w:szCs w:val="24"/>
        </w:rPr>
        <w:t xml:space="preserve"> от того, состояли ли они на иждивении погибших (умерших) или нет;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ежемесячное пособие родителям погибших (умерших) в период участия в боевых действиях ветеранов боевых действий, а также супругам погибших (умерших) в период участия в боевых действиях  вете</w:t>
      </w:r>
      <w:r>
        <w:rPr>
          <w:rFonts w:ascii="Liberation Sans" w:hAnsi="Liberation Sans" w:cs="Liberation Sans"/>
          <w:sz w:val="24"/>
          <w:szCs w:val="24"/>
        </w:rPr>
        <w:t xml:space="preserve">ранов боевых действий, не вступившим в повторный брак;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ежемесячное пособие каждому из родителей военнослужащих, погибших (умерших) вследствие увечья (ранения, травмы, контузии) либо заболевания, полученные в связи с исполнением ими обязанностей военной с</w:t>
      </w:r>
      <w:r>
        <w:rPr>
          <w:rFonts w:ascii="Liberation Sans" w:hAnsi="Liberation Sans" w:cs="Liberation Sans"/>
          <w:sz w:val="24"/>
          <w:szCs w:val="24"/>
        </w:rPr>
        <w:t xml:space="preserve">лужбы в период прохождения военной службы по призыву (за исключением случаев, когда смерть наступила в результате их противоправных действий) независимо от того состояли они на иждивении умерших или нет;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возмещение расходов по оплате стоимости проезда </w:t>
      </w:r>
      <w:r>
        <w:rPr>
          <w:rFonts w:ascii="Liberation Sans" w:hAnsi="Liberation Sans" w:cs="Liberation Sans"/>
          <w:sz w:val="24"/>
          <w:szCs w:val="24"/>
        </w:rPr>
        <w:t xml:space="preserve">к месту проведения </w:t>
      </w:r>
      <w:r>
        <w:rPr>
          <w:rFonts w:ascii="Liberation Sans" w:hAnsi="Liberation Sans" w:cs="Liberation Sans"/>
          <w:sz w:val="24"/>
          <w:szCs w:val="24"/>
        </w:rPr>
        <w:t xml:space="preserve">медико-социальной</w:t>
      </w:r>
      <w:r>
        <w:rPr>
          <w:rFonts w:ascii="Liberation Sans" w:hAnsi="Liberation Sans" w:cs="Liberation Sans"/>
          <w:sz w:val="24"/>
          <w:szCs w:val="24"/>
        </w:rPr>
        <w:t xml:space="preserve"> экспертизы (туда и обратно) инвалидам, детям-инвалидам и лицу, сопровождающему инвалида I группы или ребенка-инвалида в пределах территории автономного округа;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возмещение расходов по оплате приобретения автомобиля, </w:t>
      </w:r>
      <w:r>
        <w:rPr>
          <w:rFonts w:ascii="Liberation Sans" w:hAnsi="Liberation Sans" w:cs="Liberation Sans"/>
          <w:sz w:val="24"/>
          <w:szCs w:val="24"/>
        </w:rPr>
        <w:t xml:space="preserve">а также фактических транспортных расходов по доставке транспортного средства до места жительства, но не более определенных законом 62-ЗАО максимальных сумм, один раз в десять лет семьям, имеющим детей-инвалидов, достигших трехлетнего возраста и имеющих в и</w:t>
      </w:r>
      <w:r>
        <w:rPr>
          <w:rFonts w:ascii="Liberation Sans" w:hAnsi="Liberation Sans" w:cs="Liberation Sans"/>
          <w:sz w:val="24"/>
          <w:szCs w:val="24"/>
        </w:rPr>
        <w:t xml:space="preserve">ндивидуальной программе реабилитации или </w:t>
      </w:r>
      <w:r>
        <w:rPr>
          <w:rFonts w:ascii="Liberation Sans" w:hAnsi="Liberation Sans" w:cs="Liberation Sans"/>
          <w:sz w:val="24"/>
          <w:szCs w:val="24"/>
        </w:rPr>
        <w:t xml:space="preserve">абилитации</w:t>
      </w:r>
      <w:r>
        <w:rPr>
          <w:rFonts w:ascii="Liberation Sans" w:hAnsi="Liberation Sans" w:cs="Liberation Sans"/>
          <w:sz w:val="24"/>
          <w:szCs w:val="24"/>
        </w:rPr>
        <w:t xml:space="preserve"> ребёнка-инвалида показания к обеспечению креслом-коляской, с правом управления этими транспортными средствами взрослыми членами семьи или</w:t>
      </w:r>
      <w:r>
        <w:rPr>
          <w:rFonts w:ascii="Liberation Sans" w:hAnsi="Liberation Sans" w:cs="Liberation Sans"/>
          <w:sz w:val="24"/>
          <w:szCs w:val="24"/>
        </w:rPr>
        <w:t xml:space="preserve"> законными представителями ребёнка;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возмещение расходов в размере 1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00 процентов стоимости проезда по территории Российской Федерации один раз в календарный год на железнодорожном транспорте, водном, воздушном, междугородном и личном автомобильном транспорте (кроме такси) 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ребенку-инвалиду и одному из неработающих родителей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 (усыновителей, опекунов, попечителей), сопровождающему ребенка-инвалида;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lang w:eastAsia="ru-RU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возмещение расходов в размере 100 процентов стоимости проезда по территории Российской Федерации один раз в два года к месту отдыха (лечения) и обратно на железнодорожном транспорте, водном, воздушном, междугородном и личном автомобильном транспорте (кроме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 такси) неработающему инвалиду с детства, являющемуся получателем социальной пенсии, одному неработающему лицу, сопровождающему инвалида с детства, являющегося получателем социальной пенсии, имеющего I группу инвалидности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выплата материальной помощи к д</w:t>
      </w:r>
      <w:r>
        <w:rPr>
          <w:rFonts w:ascii="Liberation Sans" w:hAnsi="Liberation Sans" w:cs="Liberation Sans"/>
          <w:sz w:val="24"/>
          <w:szCs w:val="24"/>
        </w:rPr>
        <w:t xml:space="preserve">атам истории гражданам, зарегистрированным по месту жительства на территории автономного округа и состоящим на учете в Управлении социальной политики;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ежемесячные выплаты (ЕДВ) ветеранам труда, труженикам тыла, реабилитированным лицам и лицам, признанным</w:t>
      </w:r>
      <w:r>
        <w:rPr>
          <w:rFonts w:ascii="Liberation Sans" w:hAnsi="Liberation Sans" w:cs="Liberation Sans"/>
          <w:sz w:val="24"/>
          <w:szCs w:val="24"/>
        </w:rPr>
        <w:t xml:space="preserve"> пострадавшими от политических репрессий, ветеранам ЯНАО;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пожизненное денежное содержание инвалидам, участникам Великой Отечественной войны, бывшим несовершеннолетним узникам фашизма, лицам награжденным знаком «Житель блокадного Ленинграда», труженикам т</w:t>
      </w:r>
      <w:r>
        <w:rPr>
          <w:rFonts w:ascii="Liberation Sans" w:hAnsi="Liberation Sans" w:cs="Liberation Sans"/>
          <w:sz w:val="24"/>
          <w:szCs w:val="24"/>
        </w:rPr>
        <w:t xml:space="preserve">ыла, бывшим несовершеннолетним узникам нацистских концлагерей, тюрем и гетто, ветеранам боевых действий;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ежемесячная абонентная выплата инвалидам Великой Отечественной войны, лицам, награжденным знаком «Жителю блокадного Ленинграда», инвалидам боевых дей</w:t>
      </w:r>
      <w:r>
        <w:rPr>
          <w:rFonts w:ascii="Liberation Sans" w:hAnsi="Liberation Sans" w:cs="Liberation Sans"/>
          <w:sz w:val="24"/>
          <w:szCs w:val="24"/>
        </w:rPr>
        <w:t xml:space="preserve">ствий, 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</w:t>
      </w:r>
      <w:r>
        <w:rPr>
          <w:rFonts w:ascii="Liberation Sans" w:hAnsi="Liberation Sans" w:cs="Liberation Sans"/>
          <w:sz w:val="24"/>
          <w:szCs w:val="24"/>
        </w:rPr>
        <w:t xml:space="preserve">и исполнении обязанностей военной службы (служебных обязанностей), участникам Великой Отечественной войны, бывшим несовершеннолетним узникам фашизма, вдовам погибших (умерших</w:t>
      </w:r>
      <w:r>
        <w:rPr>
          <w:rFonts w:ascii="Liberation Sans" w:hAnsi="Liberation Sans" w:cs="Liberation Sans"/>
          <w:sz w:val="24"/>
          <w:szCs w:val="24"/>
        </w:rPr>
        <w:t xml:space="preserve">) участников Великой Отечественной войны, не вступившим в новый брак, инвалидам I,</w:t>
      </w:r>
      <w:r>
        <w:rPr>
          <w:rFonts w:ascii="Liberation Sans" w:hAnsi="Liberation Sans" w:cs="Liberation Sans"/>
          <w:sz w:val="24"/>
          <w:szCs w:val="24"/>
        </w:rPr>
        <w:t xml:space="preserve"> II гру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ппы и семьям, имеющим детей-инвалидов;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  <w:t xml:space="preserve">- </w:t>
      </w:r>
      <w:r>
        <w:rPr>
          <w:rFonts w:ascii="Liberation Sans" w:hAnsi="Liberation Sans" w:cs="Liberation Sans"/>
          <w:sz w:val="24"/>
          <w:szCs w:val="24"/>
          <w:highlight w:val="white"/>
        </w:rPr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реализация права на приобретение Единого проездного билета на проезд всеми видами транспорта общего пользования городского и пригородного сообщения (кроме такси) на территории ЯНАО;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  <w:t xml:space="preserve">- </w:t>
      </w:r>
      <w:r>
        <w:rPr>
          <w:rFonts w:ascii="Liberation Sans" w:hAnsi="Liberation Sans" w:cs="Liberation Sans"/>
          <w:sz w:val="24"/>
          <w:szCs w:val="24"/>
          <w:highlight w:val="white"/>
        </w:rPr>
      </w:r>
      <w:r>
        <w:rPr>
          <w:rFonts w:ascii="Liberation Sans" w:hAnsi="Liberation Sans" w:cs="Liberation Sans"/>
          <w:sz w:val="24"/>
          <w:szCs w:val="24"/>
        </w:rPr>
        <w:t xml:space="preserve">компенсационные выплаты </w:t>
      </w:r>
      <w:r>
        <w:rPr>
          <w:rFonts w:ascii="Liberation Sans" w:hAnsi="Liberation Sans" w:cs="Liberation Sans"/>
          <w:sz w:val="24"/>
          <w:szCs w:val="24"/>
        </w:rPr>
        <w:t xml:space="preserve">(компенсации) лицам из числа коренных малочисленных народов Севера и работникам организаций, занимающихся традиционной хозяйственной деятельностью на территории Пуровского района; 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ежемесячная и единовременная </w:t>
      </w:r>
      <w:r>
        <w:rPr>
          <w:rFonts w:ascii="Liberation Sans" w:hAnsi="Liberation Sans" w:cs="Liberation Sans"/>
          <w:sz w:val="24"/>
          <w:szCs w:val="24"/>
        </w:rPr>
        <w:t xml:space="preserve">денежная выплата лицам, удостоенным звания «Почетный граждани</w:t>
      </w:r>
      <w:r>
        <w:rPr>
          <w:rFonts w:ascii="Liberation Sans" w:hAnsi="Liberation Sans" w:cs="Liberation Sans"/>
          <w:sz w:val="24"/>
          <w:szCs w:val="24"/>
        </w:rPr>
        <w:t xml:space="preserve">н Пуровского района»;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ежегодная денежная выплата гражданам, награжденным знаком «Почетный донор СССР», Почетный донор Общества красного креста», «Почетный донор России»;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ежемесячную компенсационную выплату неработающим трудоспособным лицам, осуществляю</w:t>
      </w:r>
      <w:r>
        <w:rPr>
          <w:rFonts w:ascii="Liberation Sans" w:hAnsi="Liberation Sans" w:cs="Liberation Sans"/>
          <w:sz w:val="24"/>
          <w:szCs w:val="24"/>
        </w:rPr>
        <w:t xml:space="preserve">щим уход за инвалидом I группы;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региональная социальная доплата к пенсии.</w:t>
      </w:r>
      <w:bookmarkStart w:id="0" w:name="_GoBack"/>
      <w:r/>
      <w:bookmarkEnd w:id="0"/>
      <w:r>
        <w:rPr>
          <w:rFonts w:ascii="Liberation Sans" w:hAnsi="Liberation Sans" w:cs="Liberation Sans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277" w:right="850" w:bottom="124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3"/>
    <w:link w:val="6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3"/>
    <w:link w:val="64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3"/>
    <w:link w:val="64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3"/>
    <w:link w:val="64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3"/>
    <w:link w:val="64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3"/>
    <w:link w:val="64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3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3"/>
    <w:link w:val="65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3"/>
    <w:link w:val="667"/>
    <w:uiPriority w:val="10"/>
    <w:rPr>
      <w:sz w:val="48"/>
      <w:szCs w:val="48"/>
    </w:rPr>
  </w:style>
  <w:style w:type="character" w:styleId="37">
    <w:name w:val="Subtitle Char"/>
    <w:basedOn w:val="653"/>
    <w:link w:val="669"/>
    <w:uiPriority w:val="11"/>
    <w:rPr>
      <w:sz w:val="24"/>
      <w:szCs w:val="24"/>
    </w:rPr>
  </w:style>
  <w:style w:type="character" w:styleId="39">
    <w:name w:val="Quote Char"/>
    <w:link w:val="671"/>
    <w:uiPriority w:val="29"/>
    <w:rPr>
      <w:i/>
    </w:rPr>
  </w:style>
  <w:style w:type="character" w:styleId="41">
    <w:name w:val="Intense Quote Char"/>
    <w:link w:val="673"/>
    <w:uiPriority w:val="30"/>
    <w:rPr>
      <w:i/>
    </w:rPr>
  </w:style>
  <w:style w:type="character" w:styleId="43">
    <w:name w:val="Header Char"/>
    <w:basedOn w:val="653"/>
    <w:link w:val="675"/>
    <w:uiPriority w:val="99"/>
  </w:style>
  <w:style w:type="character" w:styleId="47">
    <w:name w:val="Caption Char"/>
    <w:basedOn w:val="679"/>
    <w:link w:val="677"/>
    <w:uiPriority w:val="99"/>
  </w:style>
  <w:style w:type="character" w:styleId="176">
    <w:name w:val="Footnote Text Char"/>
    <w:link w:val="808"/>
    <w:uiPriority w:val="99"/>
    <w:rPr>
      <w:sz w:val="18"/>
    </w:rPr>
  </w:style>
  <w:style w:type="character" w:styleId="179">
    <w:name w:val="Endnote Text Char"/>
    <w:link w:val="811"/>
    <w:uiPriority w:val="99"/>
    <w:rPr>
      <w:sz w:val="20"/>
    </w:rPr>
  </w:style>
  <w:style w:type="paragraph" w:styleId="643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44">
    <w:name w:val="Heading 1"/>
    <w:basedOn w:val="643"/>
    <w:next w:val="643"/>
    <w:link w:val="65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5">
    <w:name w:val="Heading 2"/>
    <w:basedOn w:val="643"/>
    <w:next w:val="643"/>
    <w:link w:val="65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6">
    <w:name w:val="Heading 3"/>
    <w:basedOn w:val="643"/>
    <w:next w:val="643"/>
    <w:link w:val="65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7">
    <w:name w:val="Heading 4"/>
    <w:basedOn w:val="643"/>
    <w:next w:val="643"/>
    <w:link w:val="65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643"/>
    <w:next w:val="643"/>
    <w:link w:val="66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643"/>
    <w:next w:val="643"/>
    <w:link w:val="66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0">
    <w:name w:val="Heading 7"/>
    <w:basedOn w:val="643"/>
    <w:next w:val="643"/>
    <w:link w:val="66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1">
    <w:name w:val="Heading 8"/>
    <w:basedOn w:val="643"/>
    <w:next w:val="643"/>
    <w:link w:val="66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2">
    <w:name w:val="Heading 9"/>
    <w:basedOn w:val="643"/>
    <w:next w:val="643"/>
    <w:link w:val="66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Заголовок 1 Знак"/>
    <w:link w:val="644"/>
    <w:uiPriority w:val="9"/>
    <w:rPr>
      <w:rFonts w:ascii="Arial" w:hAnsi="Arial" w:eastAsia="Arial" w:cs="Arial"/>
      <w:sz w:val="40"/>
      <w:szCs w:val="40"/>
    </w:rPr>
  </w:style>
  <w:style w:type="character" w:styleId="657" w:customStyle="1">
    <w:name w:val="Заголовок 2 Знак"/>
    <w:link w:val="645"/>
    <w:uiPriority w:val="9"/>
    <w:rPr>
      <w:rFonts w:ascii="Arial" w:hAnsi="Arial" w:eastAsia="Arial" w:cs="Arial"/>
      <w:sz w:val="34"/>
    </w:rPr>
  </w:style>
  <w:style w:type="character" w:styleId="658" w:customStyle="1">
    <w:name w:val="Заголовок 3 Знак"/>
    <w:link w:val="646"/>
    <w:uiPriority w:val="9"/>
    <w:rPr>
      <w:rFonts w:ascii="Arial" w:hAnsi="Arial" w:eastAsia="Arial" w:cs="Arial"/>
      <w:sz w:val="30"/>
      <w:szCs w:val="30"/>
    </w:rPr>
  </w:style>
  <w:style w:type="character" w:styleId="659" w:customStyle="1">
    <w:name w:val="Заголовок 4 Знак"/>
    <w:link w:val="647"/>
    <w:uiPriority w:val="9"/>
    <w:rPr>
      <w:rFonts w:ascii="Arial" w:hAnsi="Arial" w:eastAsia="Arial" w:cs="Arial"/>
      <w:b/>
      <w:bCs/>
      <w:sz w:val="26"/>
      <w:szCs w:val="26"/>
    </w:rPr>
  </w:style>
  <w:style w:type="character" w:styleId="660" w:customStyle="1">
    <w:name w:val="Заголовок 5 Знак"/>
    <w:link w:val="648"/>
    <w:uiPriority w:val="9"/>
    <w:rPr>
      <w:rFonts w:ascii="Arial" w:hAnsi="Arial" w:eastAsia="Arial" w:cs="Arial"/>
      <w:b/>
      <w:bCs/>
      <w:sz w:val="24"/>
      <w:szCs w:val="24"/>
    </w:rPr>
  </w:style>
  <w:style w:type="character" w:styleId="661" w:customStyle="1">
    <w:name w:val="Заголовок 6 Знак"/>
    <w:link w:val="649"/>
    <w:uiPriority w:val="9"/>
    <w:rPr>
      <w:rFonts w:ascii="Arial" w:hAnsi="Arial" w:eastAsia="Arial" w:cs="Arial"/>
      <w:b/>
      <w:bCs/>
      <w:sz w:val="22"/>
      <w:szCs w:val="22"/>
    </w:rPr>
  </w:style>
  <w:style w:type="character" w:styleId="662" w:customStyle="1">
    <w:name w:val="Заголовок 7 Знак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3" w:customStyle="1">
    <w:name w:val="Заголовок 8 Знак"/>
    <w:link w:val="651"/>
    <w:uiPriority w:val="9"/>
    <w:rPr>
      <w:rFonts w:ascii="Arial" w:hAnsi="Arial" w:eastAsia="Arial" w:cs="Arial"/>
      <w:i/>
      <w:iCs/>
      <w:sz w:val="22"/>
      <w:szCs w:val="22"/>
    </w:rPr>
  </w:style>
  <w:style w:type="character" w:styleId="664" w:customStyle="1">
    <w:name w:val="Заголовок 9 Знак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List Paragraph"/>
    <w:basedOn w:val="643"/>
    <w:uiPriority w:val="34"/>
    <w:qFormat/>
    <w:pPr>
      <w:contextualSpacing/>
      <w:ind w:left="720"/>
    </w:pPr>
  </w:style>
  <w:style w:type="paragraph" w:styleId="666">
    <w:name w:val="No Spacing"/>
    <w:uiPriority w:val="1"/>
    <w:qFormat/>
  </w:style>
  <w:style w:type="paragraph" w:styleId="667">
    <w:name w:val="Title"/>
    <w:basedOn w:val="643"/>
    <w:next w:val="643"/>
    <w:link w:val="668"/>
    <w:uiPriority w:val="10"/>
    <w:qFormat/>
    <w:pPr>
      <w:contextualSpacing/>
      <w:spacing w:before="300"/>
    </w:pPr>
    <w:rPr>
      <w:sz w:val="48"/>
      <w:szCs w:val="48"/>
    </w:rPr>
  </w:style>
  <w:style w:type="character" w:styleId="668" w:customStyle="1">
    <w:name w:val="Название Знак"/>
    <w:link w:val="667"/>
    <w:uiPriority w:val="10"/>
    <w:rPr>
      <w:sz w:val="48"/>
      <w:szCs w:val="48"/>
    </w:rPr>
  </w:style>
  <w:style w:type="paragraph" w:styleId="669">
    <w:name w:val="Subtitle"/>
    <w:basedOn w:val="643"/>
    <w:next w:val="643"/>
    <w:link w:val="670"/>
    <w:uiPriority w:val="11"/>
    <w:qFormat/>
    <w:pPr>
      <w:spacing w:before="200"/>
    </w:pPr>
    <w:rPr>
      <w:sz w:val="24"/>
      <w:szCs w:val="24"/>
    </w:rPr>
  </w:style>
  <w:style w:type="character" w:styleId="670" w:customStyle="1">
    <w:name w:val="Подзаголовок Знак"/>
    <w:link w:val="669"/>
    <w:uiPriority w:val="11"/>
    <w:rPr>
      <w:sz w:val="24"/>
      <w:szCs w:val="24"/>
    </w:rPr>
  </w:style>
  <w:style w:type="paragraph" w:styleId="671">
    <w:name w:val="Quote"/>
    <w:basedOn w:val="643"/>
    <w:next w:val="643"/>
    <w:link w:val="672"/>
    <w:uiPriority w:val="29"/>
    <w:qFormat/>
    <w:pPr>
      <w:ind w:left="720" w:right="720"/>
    </w:pPr>
    <w:rPr>
      <w:i/>
    </w:r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3"/>
    <w:next w:val="643"/>
    <w:link w:val="6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>
    <w:name w:val="Header"/>
    <w:basedOn w:val="643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 w:customStyle="1">
    <w:name w:val="Верхний колонтитул Знак"/>
    <w:link w:val="675"/>
    <w:uiPriority w:val="99"/>
  </w:style>
  <w:style w:type="paragraph" w:styleId="677">
    <w:name w:val="Footer"/>
    <w:basedOn w:val="643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uiPriority w:val="99"/>
  </w:style>
  <w:style w:type="paragraph" w:styleId="679">
    <w:name w:val="Caption"/>
    <w:basedOn w:val="643"/>
    <w:next w:val="64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0" w:customStyle="1">
    <w:name w:val="Нижний колонтитул Знак"/>
    <w:link w:val="677"/>
    <w:uiPriority w:val="99"/>
  </w:style>
  <w:style w:type="table" w:styleId="68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643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 w:customStyle="1">
    <w:name w:val="Текст сноски Знак"/>
    <w:link w:val="808"/>
    <w:uiPriority w:val="99"/>
    <w:rPr>
      <w:sz w:val="18"/>
    </w:rPr>
  </w:style>
  <w:style w:type="character" w:styleId="810">
    <w:name w:val="footnote reference"/>
    <w:uiPriority w:val="99"/>
    <w:unhideWhenUsed/>
    <w:rPr>
      <w:vertAlign w:val="superscript"/>
    </w:rPr>
  </w:style>
  <w:style w:type="paragraph" w:styleId="811">
    <w:name w:val="endnote text"/>
    <w:basedOn w:val="643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 w:customStyle="1">
    <w:name w:val="Текст концевой сноски Знак"/>
    <w:link w:val="811"/>
    <w:uiPriority w:val="99"/>
    <w:rPr>
      <w:sz w:val="20"/>
    </w:rPr>
  </w:style>
  <w:style w:type="character" w:styleId="813">
    <w:name w:val="endnote reference"/>
    <w:uiPriority w:val="99"/>
    <w:semiHidden/>
    <w:unhideWhenUsed/>
    <w:rPr>
      <w:vertAlign w:val="superscript"/>
    </w:rPr>
  </w:style>
  <w:style w:type="paragraph" w:styleId="814">
    <w:name w:val="toc 1"/>
    <w:basedOn w:val="643"/>
    <w:next w:val="643"/>
    <w:uiPriority w:val="39"/>
    <w:unhideWhenUsed/>
    <w:pPr>
      <w:spacing w:after="57"/>
    </w:pPr>
  </w:style>
  <w:style w:type="paragraph" w:styleId="815">
    <w:name w:val="toc 2"/>
    <w:basedOn w:val="643"/>
    <w:next w:val="643"/>
    <w:uiPriority w:val="39"/>
    <w:unhideWhenUsed/>
    <w:pPr>
      <w:ind w:left="283"/>
      <w:spacing w:after="57"/>
    </w:pPr>
  </w:style>
  <w:style w:type="paragraph" w:styleId="816">
    <w:name w:val="toc 3"/>
    <w:basedOn w:val="643"/>
    <w:next w:val="643"/>
    <w:uiPriority w:val="39"/>
    <w:unhideWhenUsed/>
    <w:pPr>
      <w:ind w:left="567"/>
      <w:spacing w:after="57"/>
    </w:pPr>
  </w:style>
  <w:style w:type="paragraph" w:styleId="817">
    <w:name w:val="toc 4"/>
    <w:basedOn w:val="643"/>
    <w:next w:val="643"/>
    <w:uiPriority w:val="39"/>
    <w:unhideWhenUsed/>
    <w:pPr>
      <w:ind w:left="850"/>
      <w:spacing w:after="57"/>
    </w:pPr>
  </w:style>
  <w:style w:type="paragraph" w:styleId="818">
    <w:name w:val="toc 5"/>
    <w:basedOn w:val="643"/>
    <w:next w:val="643"/>
    <w:uiPriority w:val="39"/>
    <w:unhideWhenUsed/>
    <w:pPr>
      <w:ind w:left="1134"/>
      <w:spacing w:after="57"/>
    </w:pPr>
  </w:style>
  <w:style w:type="paragraph" w:styleId="819">
    <w:name w:val="toc 6"/>
    <w:basedOn w:val="643"/>
    <w:next w:val="643"/>
    <w:uiPriority w:val="39"/>
    <w:unhideWhenUsed/>
    <w:pPr>
      <w:ind w:left="1417"/>
      <w:spacing w:after="57"/>
    </w:pPr>
  </w:style>
  <w:style w:type="paragraph" w:styleId="820">
    <w:name w:val="toc 7"/>
    <w:basedOn w:val="643"/>
    <w:next w:val="643"/>
    <w:uiPriority w:val="39"/>
    <w:unhideWhenUsed/>
    <w:pPr>
      <w:ind w:left="1701"/>
      <w:spacing w:after="57"/>
    </w:pPr>
  </w:style>
  <w:style w:type="paragraph" w:styleId="821">
    <w:name w:val="toc 8"/>
    <w:basedOn w:val="643"/>
    <w:next w:val="643"/>
    <w:uiPriority w:val="39"/>
    <w:unhideWhenUsed/>
    <w:pPr>
      <w:ind w:left="1984"/>
      <w:spacing w:after="57"/>
    </w:pPr>
  </w:style>
  <w:style w:type="paragraph" w:styleId="822">
    <w:name w:val="toc 9"/>
    <w:basedOn w:val="643"/>
    <w:next w:val="643"/>
    <w:uiPriority w:val="39"/>
    <w:unhideWhenUsed/>
    <w:pPr>
      <w:ind w:left="2268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643"/>
    <w:next w:val="643"/>
    <w:uiPriority w:val="99"/>
    <w:unhideWhenUsed/>
    <w:pPr>
      <w:spacing w:after="0"/>
    </w:pPr>
  </w:style>
  <w:style w:type="paragraph" w:styleId="825">
    <w:name w:val="Balloon Text"/>
    <w:basedOn w:val="643"/>
    <w:link w:val="82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6" w:customStyle="1">
    <w:name w:val="Текст выноски Знак"/>
    <w:link w:val="82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М.Л</dc:creator>
  <cp:revision>6</cp:revision>
  <dcterms:created xsi:type="dcterms:W3CDTF">2022-02-08T10:12:00Z</dcterms:created>
  <dcterms:modified xsi:type="dcterms:W3CDTF">2024-01-26T04:24:04Z</dcterms:modified>
  <cp:version>917504</cp:version>
</cp:coreProperties>
</file>